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35386" w14:textId="488CC91A" w:rsidR="0085236D" w:rsidRPr="00253F9C" w:rsidRDefault="0085236D" w:rsidP="0085236D">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3GPP TSG RAN WG2 Meeting# 11</w:t>
      </w:r>
      <w:r w:rsidR="00076354">
        <w:rPr>
          <w:rFonts w:asciiTheme="minorHAnsi" w:eastAsia="MS Mincho" w:hAnsiTheme="minorHAnsi" w:cstheme="minorHAnsi"/>
          <w:sz w:val="24"/>
          <w:szCs w:val="24"/>
          <w:lang w:val="en-US" w:eastAsia="en-US"/>
        </w:rPr>
        <w:t>4</w:t>
      </w:r>
      <w:r w:rsidRPr="00253F9C">
        <w:rPr>
          <w:rFonts w:asciiTheme="minorHAnsi" w:eastAsia="MS Mincho" w:hAnsiTheme="minorHAnsi" w:cstheme="minorHAnsi"/>
          <w:sz w:val="24"/>
          <w:szCs w:val="24"/>
          <w:lang w:val="en-US" w:eastAsia="en-US"/>
        </w:rPr>
        <w:t xml:space="preserve"> </w:t>
      </w:r>
      <w:r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R2-210</w:t>
      </w:r>
      <w:r w:rsidR="009C6A09">
        <w:rPr>
          <w:rFonts w:asciiTheme="minorHAnsi" w:eastAsia="MS Mincho" w:hAnsiTheme="minorHAnsi" w:cstheme="minorHAnsi"/>
          <w:sz w:val="24"/>
          <w:szCs w:val="24"/>
          <w:lang w:val="en-US" w:eastAsia="en-US"/>
        </w:rPr>
        <w:t>5681</w:t>
      </w:r>
    </w:p>
    <w:p w14:paraId="446C55B5" w14:textId="6B4F8A04"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00076354">
        <w:rPr>
          <w:rFonts w:asciiTheme="minorHAnsi" w:hAnsiTheme="minorHAnsi" w:cstheme="minorHAnsi"/>
          <w:sz w:val="24"/>
          <w:szCs w:val="24"/>
        </w:rPr>
        <w:t>May</w:t>
      </w:r>
      <w:r w:rsidRPr="00253F9C">
        <w:rPr>
          <w:rFonts w:asciiTheme="minorHAnsi" w:hAnsiTheme="minorHAnsi" w:cstheme="minorHAnsi"/>
          <w:sz w:val="24"/>
          <w:szCs w:val="24"/>
        </w:rPr>
        <w:t xml:space="preserve"> 1</w:t>
      </w:r>
      <w:r w:rsidR="00076354">
        <w:rPr>
          <w:rFonts w:asciiTheme="minorHAnsi" w:hAnsiTheme="minorHAnsi" w:cstheme="minorHAnsi"/>
          <w:sz w:val="24"/>
          <w:szCs w:val="24"/>
        </w:rPr>
        <w:t>9</w:t>
      </w:r>
      <w:r w:rsidRPr="00253F9C">
        <w:rPr>
          <w:rFonts w:asciiTheme="minorHAnsi" w:hAnsiTheme="minorHAnsi" w:cstheme="minorHAnsi"/>
          <w:sz w:val="24"/>
          <w:szCs w:val="24"/>
        </w:rPr>
        <w:t xml:space="preserve"> – </w:t>
      </w:r>
      <w:r w:rsidR="00076354">
        <w:rPr>
          <w:rFonts w:asciiTheme="minorHAnsi" w:hAnsiTheme="minorHAnsi" w:cstheme="minorHAnsi"/>
          <w:sz w:val="24"/>
          <w:szCs w:val="24"/>
        </w:rPr>
        <w:t>May</w:t>
      </w:r>
      <w:r w:rsidRPr="00253F9C">
        <w:rPr>
          <w:rFonts w:asciiTheme="minorHAnsi" w:hAnsiTheme="minorHAnsi" w:cstheme="minorHAnsi"/>
          <w:sz w:val="24"/>
          <w:szCs w:val="24"/>
        </w:rPr>
        <w:t xml:space="preserve"> 2</w:t>
      </w:r>
      <w:r w:rsidR="003B34BC">
        <w:rPr>
          <w:rFonts w:asciiTheme="minorHAnsi" w:hAnsiTheme="minorHAnsi" w:cstheme="minorHAnsi"/>
          <w:sz w:val="24"/>
          <w:szCs w:val="24"/>
        </w:rPr>
        <w:t>7</w:t>
      </w:r>
      <w:r w:rsidRPr="00253F9C">
        <w:rPr>
          <w:rFonts w:asciiTheme="minorHAnsi" w:hAnsiTheme="minorHAnsi" w:cstheme="minorHAnsi"/>
          <w:sz w:val="24"/>
          <w:szCs w:val="24"/>
        </w:rPr>
        <w:t>, 2021</w:t>
      </w:r>
      <w:r w:rsidRPr="00253F9C">
        <w:rPr>
          <w:rFonts w:asciiTheme="minorHAnsi" w:eastAsia="MS Mincho" w:hAnsiTheme="minorHAnsi" w:cstheme="minorHAnsi"/>
          <w:sz w:val="24"/>
          <w:szCs w:val="24"/>
          <w:lang w:val="en-US" w:eastAsia="en-US"/>
        </w:rPr>
        <w:tab/>
      </w:r>
      <w:r>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2A987914"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85236D">
        <w:rPr>
          <w:rFonts w:ascii="Calibri" w:eastAsia="MS Mincho" w:hAnsi="Calibri" w:cs="Calibri"/>
          <w:b/>
          <w:sz w:val="24"/>
          <w:lang w:val="en-US" w:eastAsia="en-US"/>
        </w:rPr>
        <w:t>.</w:t>
      </w:r>
      <w:r w:rsidR="00C54116">
        <w:rPr>
          <w:rFonts w:ascii="Calibri" w:eastAsia="MS Mincho" w:hAnsi="Calibri" w:cs="Calibri"/>
          <w:b/>
          <w:sz w:val="24"/>
          <w:lang w:val="en-US" w:eastAsia="en-US"/>
        </w:rPr>
        <w:t>2.4</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47CE420D"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432E61">
        <w:rPr>
          <w:rFonts w:ascii="Calibri" w:eastAsia="MS Mincho" w:hAnsi="Calibri" w:cs="Calibri"/>
          <w:b/>
          <w:sz w:val="24"/>
          <w:lang w:val="en-US" w:eastAsia="en-US"/>
        </w:rPr>
        <w:t>MBS BWP UE capability and MBS resources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43DA1EA" w14:textId="2A85D316" w:rsidR="00432E61" w:rsidRDefault="00432E61" w:rsidP="007711C0">
      <w:r>
        <w:t>RAN1 agreemen</w:t>
      </w:r>
      <w:r w:rsidR="00382A5B">
        <w:t>ts on MBS resource allocation are</w:t>
      </w:r>
      <w:r>
        <w:t>:</w:t>
      </w:r>
    </w:p>
    <w:tbl>
      <w:tblPr>
        <w:tblStyle w:val="TableGrid"/>
        <w:tblW w:w="0" w:type="auto"/>
        <w:tblLook w:val="04A0" w:firstRow="1" w:lastRow="0" w:firstColumn="1" w:lastColumn="0" w:noHBand="0" w:noVBand="1"/>
      </w:tblPr>
      <w:tblGrid>
        <w:gridCol w:w="9631"/>
      </w:tblGrid>
      <w:tr w:rsidR="00432E61" w14:paraId="73B488E0" w14:textId="77777777" w:rsidTr="00432E61">
        <w:tc>
          <w:tcPr>
            <w:tcW w:w="9631" w:type="dxa"/>
          </w:tcPr>
          <w:p w14:paraId="72BBF1AB" w14:textId="77777777" w:rsidR="00822044" w:rsidRPr="00FC1353" w:rsidRDefault="00822044" w:rsidP="00822044">
            <w:pPr>
              <w:rPr>
                <w:lang w:eastAsia="x-none"/>
              </w:rPr>
            </w:pPr>
            <w:r w:rsidRPr="00FC1353">
              <w:rPr>
                <w:highlight w:val="green"/>
                <w:lang w:eastAsia="x-none"/>
              </w:rPr>
              <w:t>Agreement at RAN1#104-e:</w:t>
            </w:r>
          </w:p>
          <w:p w14:paraId="2F33205D" w14:textId="77777777" w:rsidR="00822044" w:rsidRPr="00FC1353" w:rsidRDefault="00822044" w:rsidP="00822044">
            <w:pPr>
              <w:widowControl w:val="0"/>
              <w:spacing w:after="120"/>
              <w:rPr>
                <w:b/>
                <w:lang w:eastAsia="zh-CN"/>
              </w:rPr>
            </w:pPr>
            <w:r w:rsidRPr="00FC1353">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76D5159" w14:textId="77777777" w:rsidR="00822044" w:rsidRPr="00FC1353" w:rsidRDefault="00822044" w:rsidP="00822044">
            <w:pPr>
              <w:pStyle w:val="ListParagraph"/>
              <w:widowControl w:val="0"/>
              <w:numPr>
                <w:ilvl w:val="0"/>
                <w:numId w:val="15"/>
              </w:numPr>
              <w:overflowPunct/>
              <w:autoSpaceDE/>
              <w:autoSpaceDN/>
              <w:adjustRightInd/>
              <w:spacing w:after="120"/>
              <w:ind w:firstLine="480"/>
              <w:contextualSpacing w:val="0"/>
              <w:textAlignment w:val="auto"/>
              <w:rPr>
                <w:lang w:eastAsia="zh-CN"/>
              </w:rPr>
            </w:pPr>
            <w:r w:rsidRPr="00FC1353">
              <w:rPr>
                <w:lang w:eastAsia="zh-CN"/>
              </w:rPr>
              <w:t xml:space="preserve">Down select from the two options for the common frequency resource for </w:t>
            </w:r>
            <w:proofErr w:type="gramStart"/>
            <w:r w:rsidRPr="00FC1353">
              <w:rPr>
                <w:lang w:eastAsia="zh-CN"/>
              </w:rPr>
              <w:t>group-common</w:t>
            </w:r>
            <w:proofErr w:type="gramEnd"/>
            <w:r w:rsidRPr="00FC1353">
              <w:rPr>
                <w:lang w:eastAsia="zh-CN"/>
              </w:rPr>
              <w:t xml:space="preserve"> PDCCH/ PDSCH</w:t>
            </w:r>
          </w:p>
          <w:p w14:paraId="17D69AB4" w14:textId="77777777" w:rsidR="00822044" w:rsidRPr="00FC1353" w:rsidRDefault="00822044" w:rsidP="00822044">
            <w:pPr>
              <w:pStyle w:val="ListParagraph"/>
              <w:widowControl w:val="0"/>
              <w:numPr>
                <w:ilvl w:val="1"/>
                <w:numId w:val="15"/>
              </w:numPr>
              <w:overflowPunct/>
              <w:autoSpaceDE/>
              <w:autoSpaceDN/>
              <w:adjustRightInd/>
              <w:spacing w:after="120"/>
              <w:ind w:firstLine="480"/>
              <w:contextualSpacing w:val="0"/>
              <w:textAlignment w:val="auto"/>
              <w:rPr>
                <w:lang w:eastAsia="zh-CN"/>
              </w:rPr>
            </w:pPr>
            <w:r w:rsidRPr="00FC1353">
              <w:rPr>
                <w:lang w:eastAsia="zh-CN"/>
              </w:rPr>
              <w:t>Option 2A: The common frequency resource is defined as an MBS specific BWP, which is associated with the dedicated unicast BWP and using the same numerology (SCS and CP)</w:t>
            </w:r>
          </w:p>
          <w:p w14:paraId="1EF996ED" w14:textId="77777777" w:rsidR="00822044" w:rsidRPr="00FC1353" w:rsidRDefault="00822044" w:rsidP="00822044">
            <w:pPr>
              <w:pStyle w:val="ListParagraph"/>
              <w:widowControl w:val="0"/>
              <w:numPr>
                <w:ilvl w:val="2"/>
                <w:numId w:val="15"/>
              </w:numPr>
              <w:overflowPunct/>
              <w:autoSpaceDE/>
              <w:autoSpaceDN/>
              <w:adjustRightInd/>
              <w:spacing w:after="120"/>
              <w:ind w:firstLine="480"/>
              <w:contextualSpacing w:val="0"/>
              <w:textAlignment w:val="auto"/>
              <w:rPr>
                <w:lang w:eastAsia="zh-CN"/>
              </w:rPr>
            </w:pPr>
            <w:r w:rsidRPr="00FC1353">
              <w:rPr>
                <w:lang w:eastAsia="zh-CN"/>
              </w:rPr>
              <w:t>FFS BWP switching is needed between the multicast reception in the MBS specific BWP and unicast reception in its associated dedicated BWP</w:t>
            </w:r>
          </w:p>
          <w:p w14:paraId="681FCA07" w14:textId="77777777" w:rsidR="00822044" w:rsidRPr="00FC1353" w:rsidRDefault="00822044" w:rsidP="00822044">
            <w:pPr>
              <w:pStyle w:val="ListParagraph"/>
              <w:widowControl w:val="0"/>
              <w:numPr>
                <w:ilvl w:val="1"/>
                <w:numId w:val="15"/>
              </w:numPr>
              <w:overflowPunct/>
              <w:autoSpaceDE/>
              <w:autoSpaceDN/>
              <w:adjustRightInd/>
              <w:spacing w:after="120"/>
              <w:ind w:firstLine="480"/>
              <w:contextualSpacing w:val="0"/>
              <w:textAlignment w:val="auto"/>
              <w:rPr>
                <w:lang w:eastAsia="zh-CN"/>
              </w:rPr>
            </w:pPr>
            <w:r w:rsidRPr="00FC1353">
              <w:rPr>
                <w:lang w:eastAsia="zh-CN"/>
              </w:rPr>
              <w:t xml:space="preserve">Option 2B: The common frequency resource is defined as an ‘MBS frequency region’ with </w:t>
            </w:r>
            <w:proofErr w:type="gramStart"/>
            <w:r w:rsidRPr="00FC1353">
              <w:rPr>
                <w:lang w:eastAsia="zh-CN"/>
              </w:rPr>
              <w:t>a number of</w:t>
            </w:r>
            <w:proofErr w:type="gramEnd"/>
            <w:r w:rsidRPr="00FC1353">
              <w:rPr>
                <w:lang w:eastAsia="zh-CN"/>
              </w:rPr>
              <w:t xml:space="preserve"> contiguous PRBs, which is configured within the dedicated unicast BWP.</w:t>
            </w:r>
          </w:p>
          <w:p w14:paraId="269656C5" w14:textId="77777777" w:rsidR="00822044" w:rsidRPr="00FC1353" w:rsidRDefault="00822044" w:rsidP="00822044">
            <w:pPr>
              <w:pStyle w:val="ListParagraph"/>
              <w:widowControl w:val="0"/>
              <w:numPr>
                <w:ilvl w:val="2"/>
                <w:numId w:val="15"/>
              </w:numPr>
              <w:overflowPunct/>
              <w:autoSpaceDE/>
              <w:autoSpaceDN/>
              <w:adjustRightInd/>
              <w:spacing w:after="120"/>
              <w:ind w:firstLine="480"/>
              <w:contextualSpacing w:val="0"/>
              <w:textAlignment w:val="auto"/>
              <w:rPr>
                <w:lang w:eastAsia="zh-CN"/>
              </w:rPr>
            </w:pPr>
            <w:r w:rsidRPr="00FC1353">
              <w:rPr>
                <w:lang w:eastAsia="zh-CN"/>
              </w:rPr>
              <w:t>FFS: How to indicate the starting PRB and the length of PRBs of the MBS frequency region</w:t>
            </w:r>
          </w:p>
          <w:p w14:paraId="708B9071" w14:textId="77777777" w:rsidR="00822044" w:rsidRPr="00FC1353" w:rsidRDefault="00822044" w:rsidP="00822044">
            <w:pPr>
              <w:pStyle w:val="ListParagraph"/>
              <w:widowControl w:val="0"/>
              <w:numPr>
                <w:ilvl w:val="0"/>
                <w:numId w:val="15"/>
              </w:numPr>
              <w:overflowPunct/>
              <w:autoSpaceDE/>
              <w:autoSpaceDN/>
              <w:adjustRightInd/>
              <w:spacing w:after="120"/>
              <w:ind w:firstLine="480"/>
              <w:contextualSpacing w:val="0"/>
              <w:textAlignment w:val="auto"/>
              <w:rPr>
                <w:lang w:eastAsia="zh-CN"/>
              </w:rPr>
            </w:pPr>
            <w:r w:rsidRPr="00FC1353">
              <w:rPr>
                <w:lang w:eastAsia="zh-CN"/>
              </w:rPr>
              <w:t>FFS whether UE can be configured with no unicast reception in the common frequency resource</w:t>
            </w:r>
          </w:p>
          <w:p w14:paraId="353126D4" w14:textId="77777777" w:rsidR="00822044" w:rsidRPr="00FC1353" w:rsidRDefault="00822044" w:rsidP="00822044">
            <w:pPr>
              <w:pStyle w:val="ListParagraph"/>
              <w:widowControl w:val="0"/>
              <w:numPr>
                <w:ilvl w:val="0"/>
                <w:numId w:val="15"/>
              </w:numPr>
              <w:overflowPunct/>
              <w:autoSpaceDE/>
              <w:autoSpaceDN/>
              <w:adjustRightInd/>
              <w:spacing w:after="120"/>
              <w:ind w:firstLine="480"/>
              <w:contextualSpacing w:val="0"/>
              <w:textAlignment w:val="auto"/>
              <w:rPr>
                <w:lang w:eastAsia="zh-CN"/>
              </w:rPr>
            </w:pPr>
            <w:r w:rsidRPr="00FC1353">
              <w:rPr>
                <w:lang w:eastAsia="zh-CN"/>
              </w:rPr>
              <w:t xml:space="preserve">FFS on details of the </w:t>
            </w:r>
            <w:proofErr w:type="gramStart"/>
            <w:r w:rsidRPr="00FC1353">
              <w:rPr>
                <w:lang w:eastAsia="zh-CN"/>
              </w:rPr>
              <w:t>group-common</w:t>
            </w:r>
            <w:proofErr w:type="gramEnd"/>
            <w:r w:rsidRPr="00FC1353">
              <w:rPr>
                <w:lang w:eastAsia="zh-CN"/>
              </w:rPr>
              <w:t xml:space="preserve"> PDCCH / PDSCH configuration</w:t>
            </w:r>
          </w:p>
          <w:p w14:paraId="39AB5C85" w14:textId="77777777" w:rsidR="00822044" w:rsidRPr="00FC1353" w:rsidRDefault="00822044" w:rsidP="00822044">
            <w:pPr>
              <w:pStyle w:val="ListParagraph"/>
              <w:widowControl w:val="0"/>
              <w:numPr>
                <w:ilvl w:val="0"/>
                <w:numId w:val="15"/>
              </w:numPr>
              <w:overflowPunct/>
              <w:autoSpaceDE/>
              <w:autoSpaceDN/>
              <w:adjustRightInd/>
              <w:spacing w:after="120"/>
              <w:ind w:firstLine="480"/>
              <w:contextualSpacing w:val="0"/>
              <w:textAlignment w:val="auto"/>
              <w:rPr>
                <w:lang w:eastAsia="zh-CN"/>
              </w:rPr>
            </w:pPr>
            <w:r w:rsidRPr="00FC1353">
              <w:rPr>
                <w:lang w:eastAsia="zh-CN"/>
              </w:rPr>
              <w:t>FFS whether to support more than one common frequency resources per UE / per dedicated unicast BWP subjected to UE capabilities</w:t>
            </w:r>
          </w:p>
          <w:p w14:paraId="7E093B6C" w14:textId="77777777" w:rsidR="00822044" w:rsidRPr="00FC1353" w:rsidRDefault="00822044" w:rsidP="00822044">
            <w:pPr>
              <w:pStyle w:val="ListParagraph"/>
              <w:widowControl w:val="0"/>
              <w:numPr>
                <w:ilvl w:val="0"/>
                <w:numId w:val="15"/>
              </w:numPr>
              <w:overflowPunct/>
              <w:autoSpaceDE/>
              <w:autoSpaceDN/>
              <w:adjustRightInd/>
              <w:spacing w:after="120"/>
              <w:ind w:firstLine="480"/>
              <w:contextualSpacing w:val="0"/>
              <w:textAlignment w:val="auto"/>
              <w:rPr>
                <w:lang w:eastAsia="zh-CN"/>
              </w:rPr>
            </w:pPr>
            <w:r w:rsidRPr="00FC1353">
              <w:rPr>
                <w:rFonts w:hint="eastAsia"/>
                <w:lang w:eastAsia="zh-CN"/>
              </w:rPr>
              <w:t>F</w:t>
            </w:r>
            <w:r w:rsidRPr="00FC1353">
              <w:rPr>
                <w:lang w:eastAsia="zh-CN"/>
              </w:rPr>
              <w:t>FS whether the use of a common frequency resource for multicast is optional or not</w:t>
            </w:r>
          </w:p>
          <w:p w14:paraId="433987A9" w14:textId="77777777" w:rsidR="00822044" w:rsidRPr="00FC1353" w:rsidRDefault="00822044" w:rsidP="00822044">
            <w:pPr>
              <w:pStyle w:val="ListParagraph"/>
              <w:widowControl w:val="0"/>
              <w:numPr>
                <w:ilvl w:val="0"/>
                <w:numId w:val="15"/>
              </w:numPr>
              <w:overflowPunct/>
              <w:autoSpaceDE/>
              <w:autoSpaceDN/>
              <w:adjustRightInd/>
              <w:spacing w:after="120"/>
              <w:ind w:firstLine="480"/>
              <w:contextualSpacing w:val="0"/>
              <w:textAlignment w:val="auto"/>
              <w:rPr>
                <w:lang w:eastAsia="zh-CN"/>
              </w:rPr>
            </w:pPr>
            <w:r w:rsidRPr="00FC1353">
              <w:rPr>
                <w:lang w:eastAsia="zh-CN"/>
              </w:rPr>
              <w:t>FFS whether the common frequency resource is applicable for PTM scheme 2 (if supported) or not</w:t>
            </w:r>
          </w:p>
          <w:p w14:paraId="111627C1" w14:textId="77777777" w:rsidR="00822044" w:rsidRPr="00FC1353" w:rsidRDefault="00822044" w:rsidP="00822044">
            <w:pPr>
              <w:rPr>
                <w:lang w:eastAsia="x-none"/>
              </w:rPr>
            </w:pPr>
            <w:r w:rsidRPr="00FC1353">
              <w:rPr>
                <w:highlight w:val="green"/>
                <w:lang w:eastAsia="x-none"/>
              </w:rPr>
              <w:t>Agreement at RAN1#104b-e:</w:t>
            </w:r>
          </w:p>
          <w:p w14:paraId="19FFC3EC" w14:textId="77777777" w:rsidR="00822044" w:rsidRPr="00FC1353" w:rsidRDefault="00822044" w:rsidP="00822044">
            <w:pPr>
              <w:rPr>
                <w:lang w:eastAsia="x-none"/>
              </w:rPr>
            </w:pPr>
            <w:r w:rsidRPr="00FC1353">
              <w:rPr>
                <w:lang w:eastAsia="x-none"/>
              </w:rPr>
              <w:t>The down-selection of Option 2A and Option 2B for CFR for multicast of RRC-CONNECTED UEs will be made before the end of RAN1#105-e.</w:t>
            </w:r>
          </w:p>
          <w:p w14:paraId="2D92CC4E" w14:textId="77777777" w:rsidR="00432E61" w:rsidRDefault="00432E61" w:rsidP="007711C0"/>
        </w:tc>
      </w:tr>
    </w:tbl>
    <w:p w14:paraId="2C6A29CB" w14:textId="6AFFC017" w:rsidR="00503C73" w:rsidRDefault="000A44E1" w:rsidP="007711C0">
      <w:r>
        <w:t xml:space="preserve"> </w:t>
      </w:r>
    </w:p>
    <w:p w14:paraId="70792F09" w14:textId="3A502D1B" w:rsidR="00382A5B" w:rsidRDefault="00382A5B" w:rsidP="007711C0">
      <w:r>
        <w:t xml:space="preserve">In our understanding selecting one option </w:t>
      </w:r>
      <w:r w:rsidR="009C6A09">
        <w:t xml:space="preserve">in RAN1 </w:t>
      </w:r>
      <w:r w:rsidR="005A64B8">
        <w:t xml:space="preserve">will bring in </w:t>
      </w:r>
      <w:r>
        <w:t>restrict</w:t>
      </w:r>
      <w:r w:rsidR="005A64B8">
        <w:t>ions</w:t>
      </w:r>
      <w:r>
        <w:t xml:space="preserve"> </w:t>
      </w:r>
      <w:r w:rsidR="005A64B8">
        <w:t xml:space="preserve">in terms of allowing support of </w:t>
      </w:r>
      <w:r w:rsidR="00750BA6">
        <w:t xml:space="preserve">a </w:t>
      </w:r>
      <w:r w:rsidR="005A64B8">
        <w:t xml:space="preserve">single UE capability and </w:t>
      </w:r>
      <w:r w:rsidR="00750BA6">
        <w:t xml:space="preserve">restrictive </w:t>
      </w:r>
      <w:r w:rsidR="005A64B8">
        <w:t>configuration of dedicated BWP.</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5B5BDD03" w14:textId="77777777" w:rsidR="005F3D20" w:rsidRPr="005F3D20" w:rsidRDefault="005F3D20" w:rsidP="005F3D20">
      <w:pPr>
        <w:rPr>
          <w:bCs/>
        </w:rPr>
      </w:pPr>
      <w:r w:rsidRPr="005F3D20">
        <w:rPr>
          <w:bCs/>
        </w:rPr>
        <w:t xml:space="preserve">RAN1 agreement of Option 2A implies that UE is configured with a dedicated BWP and has an associated MBS BWP with same numerology. Regardless whether the dedicated BWP includes the associated MBS BWP, a UE is required to support two active BWP. Option 2B implies that dedicated BWP includes resources for MBS. </w:t>
      </w:r>
    </w:p>
    <w:p w14:paraId="6E3AA79C" w14:textId="77777777" w:rsidR="005F3D20" w:rsidRPr="005F3D20" w:rsidRDefault="005F3D20" w:rsidP="005F3D20">
      <w:pPr>
        <w:rPr>
          <w:bCs/>
        </w:rPr>
      </w:pPr>
      <w:r w:rsidRPr="005F3D20">
        <w:rPr>
          <w:bCs/>
        </w:rPr>
        <w:lastRenderedPageBreak/>
        <w:t xml:space="preserve">MBS resources could either be scheduled in a separate BWP (option 2A above) or part of dedicated BWP (option 2B).  </w:t>
      </w:r>
    </w:p>
    <w:p w14:paraId="5B3CFE9C" w14:textId="77777777" w:rsidR="005F3D20" w:rsidRPr="005F3D20" w:rsidRDefault="005F3D20" w:rsidP="005F3D20">
      <w:pPr>
        <w:rPr>
          <w:bCs/>
        </w:rPr>
      </w:pPr>
      <w:r w:rsidRPr="005F3D20">
        <w:rPr>
          <w:bCs/>
        </w:rPr>
        <w:t>The disadvantage of 2A is that not all UEs will be able to support two active BWPs as that will increase the UE complexity.</w:t>
      </w:r>
    </w:p>
    <w:p w14:paraId="4E009916" w14:textId="77777777" w:rsidR="005F3D20" w:rsidRPr="005F3D20" w:rsidRDefault="005F3D20" w:rsidP="005F3D20">
      <w:pPr>
        <w:rPr>
          <w:bCs/>
        </w:rPr>
      </w:pPr>
      <w:r w:rsidRPr="005F3D20">
        <w:rPr>
          <w:bCs/>
        </w:rPr>
        <w:t xml:space="preserve">The disadvantage of 2B is that a UE </w:t>
      </w:r>
      <w:proofErr w:type="gramStart"/>
      <w:r w:rsidRPr="005F3D20">
        <w:rPr>
          <w:bCs/>
        </w:rPr>
        <w:t>has to</w:t>
      </w:r>
      <w:proofErr w:type="gramEnd"/>
      <w:r w:rsidRPr="005F3D20">
        <w:rPr>
          <w:bCs/>
        </w:rPr>
        <w:t xml:space="preserve"> receive MBS with other UEs and hence MBS resource cannot be moved around if UE does BWP switching for power saving purpose, i.e. the BWP adaptation will be lost or difficult to be supported. From another angle, as the network tries to schedule multicast session in PTM mode for many UEs, the MBS resource will be common for many UEs, and the consequence is that  all UEs’ dedicated BWPs should overlap the MBS resource (CFR), and hence the rest of system BW will be under-utilized or network has to set the UE-dedicated BWP to be equal to the system BW in order to avoid the under-utilization. If the UE-dedicated BWP is equal to the system BW, then power saving mechanism will be lost. </w:t>
      </w:r>
    </w:p>
    <w:p w14:paraId="07FDC8D9" w14:textId="77777777" w:rsidR="005F3D20" w:rsidRPr="005F3D20" w:rsidRDefault="005F3D20" w:rsidP="005F3D20">
      <w:pPr>
        <w:rPr>
          <w:bCs/>
        </w:rPr>
      </w:pPr>
      <w:r w:rsidRPr="005F3D20">
        <w:rPr>
          <w:bCs/>
        </w:rPr>
        <w:t xml:space="preserve">Due to these reasons option 2B cannot work and option 2A should be the baseline. But if a UE </w:t>
      </w:r>
      <w:proofErr w:type="gramStart"/>
      <w:r w:rsidRPr="005F3D20">
        <w:rPr>
          <w:bCs/>
        </w:rPr>
        <w:t>is capable of supporting</w:t>
      </w:r>
      <w:proofErr w:type="gramEnd"/>
      <w:r w:rsidRPr="005F3D20">
        <w:rPr>
          <w:bCs/>
        </w:rPr>
        <w:t xml:space="preserve"> a single active BWP (due to RF chain, hardware capability) then option 2A cannot work as well. </w:t>
      </w:r>
    </w:p>
    <w:p w14:paraId="0A55D8AB" w14:textId="1CECB0A9" w:rsidR="005F3D20" w:rsidRPr="005F3D20" w:rsidRDefault="005F3D20" w:rsidP="005F3D20">
      <w:pPr>
        <w:rPr>
          <w:b/>
        </w:rPr>
      </w:pPr>
      <w:r w:rsidRPr="005F3D20">
        <w:rPr>
          <w:bCs/>
        </w:rPr>
        <w:t>The best way is to allow both options i.e. option 2A and option 2B to be supported in a cell. A UE provides its capability so that the network can schedule accordingly.</w:t>
      </w:r>
    </w:p>
    <w:p w14:paraId="6B02B70B" w14:textId="4EEE9B00" w:rsidR="005A64B8" w:rsidRDefault="005A64B8" w:rsidP="005F3D20">
      <w:pPr>
        <w:rPr>
          <w:b/>
        </w:rPr>
      </w:pPr>
      <w:r w:rsidRPr="005F3D20">
        <w:rPr>
          <w:b/>
        </w:rPr>
        <w:t>Proposal:</w:t>
      </w:r>
      <w:r w:rsidR="005F3D20" w:rsidRPr="005F3D20">
        <w:rPr>
          <w:b/>
        </w:rPr>
        <w:t xml:space="preserve"> </w:t>
      </w:r>
      <w:r>
        <w:rPr>
          <w:b/>
        </w:rPr>
        <w:t xml:space="preserve">RAN2 to agree that </w:t>
      </w:r>
      <w:r w:rsidR="005F3D20" w:rsidRPr="005F3D20">
        <w:rPr>
          <w:b/>
        </w:rPr>
        <w:t xml:space="preserve">both Option 2A and Option 2B </w:t>
      </w:r>
      <w:r>
        <w:rPr>
          <w:b/>
        </w:rPr>
        <w:t xml:space="preserve">are supported </w:t>
      </w:r>
      <w:r w:rsidR="005F3D20" w:rsidRPr="005F3D20">
        <w:rPr>
          <w:b/>
        </w:rPr>
        <w:t>for MBS</w:t>
      </w:r>
      <w:r>
        <w:rPr>
          <w:b/>
        </w:rPr>
        <w:t xml:space="preserve"> and inform RAN1 of this decision</w:t>
      </w:r>
      <w:r w:rsidR="005F3D20" w:rsidRPr="005F3D20">
        <w:rPr>
          <w:b/>
        </w:rPr>
        <w:t>.</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6CC995E6" w14:textId="7FEB4725" w:rsidR="005A64B8" w:rsidRDefault="005A64B8" w:rsidP="005A64B8">
      <w:pPr>
        <w:rPr>
          <w:b/>
        </w:rPr>
      </w:pPr>
      <w:r w:rsidRPr="005F3D20">
        <w:rPr>
          <w:b/>
        </w:rPr>
        <w:t>Proposal</w:t>
      </w:r>
      <w:r>
        <w:rPr>
          <w:b/>
        </w:rPr>
        <w:t>:</w:t>
      </w:r>
      <w:r w:rsidRPr="005F3D20">
        <w:rPr>
          <w:b/>
        </w:rPr>
        <w:t xml:space="preserve"> </w:t>
      </w:r>
      <w:r>
        <w:rPr>
          <w:b/>
        </w:rPr>
        <w:t xml:space="preserve">RAN2 to agree that </w:t>
      </w:r>
      <w:r w:rsidRPr="005F3D20">
        <w:rPr>
          <w:b/>
        </w:rPr>
        <w:t xml:space="preserve">both Option 2A and Option 2B </w:t>
      </w:r>
      <w:r>
        <w:rPr>
          <w:b/>
        </w:rPr>
        <w:t xml:space="preserve">are supported </w:t>
      </w:r>
      <w:r w:rsidRPr="005F3D20">
        <w:rPr>
          <w:b/>
        </w:rPr>
        <w:t>for MBS</w:t>
      </w:r>
      <w:r>
        <w:rPr>
          <w:b/>
        </w:rPr>
        <w:t xml:space="preserve"> and inform RAN1 of this decision</w:t>
      </w:r>
      <w:r w:rsidRPr="005F3D20">
        <w:rPr>
          <w:b/>
        </w:rPr>
        <w:t>.</w:t>
      </w:r>
    </w:p>
    <w:p w14:paraId="2A8C40EB" w14:textId="5EC9D41B" w:rsidR="00DD10FE" w:rsidRPr="00A121D8" w:rsidRDefault="00750BA6" w:rsidP="00DD10FE">
      <w:pPr>
        <w:rPr>
          <w:b/>
        </w:rPr>
      </w:pPr>
      <w:r w:rsidRPr="005A64B8">
        <w:rPr>
          <w:bCs/>
        </w:rPr>
        <w:t xml:space="preserve">This proposal is also </w:t>
      </w:r>
      <w:r>
        <w:rPr>
          <w:bCs/>
        </w:rPr>
        <w:t>submitted to RAN1</w:t>
      </w:r>
      <w:r w:rsidR="003D4680">
        <w:rPr>
          <w:bCs/>
        </w:rPr>
        <w:t>.</w:t>
      </w:r>
      <w:bookmarkStart w:id="13" w:name="_GoBack"/>
      <w:bookmarkEnd w:id="13"/>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3459883E" w:rsidR="00515691" w:rsidRDefault="00257C6F" w:rsidP="00515691">
      <w:pPr>
        <w:rPr>
          <w:rFonts w:eastAsia="MS Mincho"/>
          <w:lang w:val="en-US" w:eastAsia="en-US"/>
        </w:rPr>
      </w:pPr>
      <w:r>
        <w:rPr>
          <w:rFonts w:eastAsia="MS Mincho"/>
          <w:lang w:val="en-US" w:eastAsia="en-US"/>
        </w:rPr>
        <w:t xml:space="preserve">[2] </w:t>
      </w:r>
      <w:r>
        <w:rPr>
          <w:rFonts w:eastAsia="MS Mincho"/>
          <w:lang w:val="en-US" w:eastAsia="en-US"/>
        </w:rPr>
        <w:tab/>
      </w:r>
      <w:r w:rsidR="005A64B8">
        <w:rPr>
          <w:rFonts w:eastAsia="MS Mincho"/>
          <w:lang w:val="en-US" w:eastAsia="en-US"/>
        </w:rPr>
        <w:t>RAN1 chair notes</w:t>
      </w: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3"/>
  </w:num>
  <w:num w:numId="5">
    <w:abstractNumId w:val="7"/>
  </w:num>
  <w:num w:numId="6">
    <w:abstractNumId w:val="6"/>
  </w:num>
  <w:num w:numId="7">
    <w:abstractNumId w:val="13"/>
  </w:num>
  <w:num w:numId="8">
    <w:abstractNumId w:val="11"/>
  </w:num>
  <w:num w:numId="9">
    <w:abstractNumId w:val="12"/>
  </w:num>
  <w:num w:numId="10">
    <w:abstractNumId w:val="2"/>
  </w:num>
  <w:num w:numId="11">
    <w:abstractNumId w:val="9"/>
  </w:num>
  <w:num w:numId="12">
    <w:abstractNumId w:val="14"/>
  </w:num>
  <w:num w:numId="13">
    <w:abstractNumId w:val="5"/>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69C6"/>
    <w:rsid w:val="000651A5"/>
    <w:rsid w:val="000705F9"/>
    <w:rsid w:val="00074A1F"/>
    <w:rsid w:val="000758E3"/>
    <w:rsid w:val="00076354"/>
    <w:rsid w:val="0008070B"/>
    <w:rsid w:val="00082A46"/>
    <w:rsid w:val="000971F1"/>
    <w:rsid w:val="000A0C9C"/>
    <w:rsid w:val="000A109F"/>
    <w:rsid w:val="000A39A5"/>
    <w:rsid w:val="000A41A0"/>
    <w:rsid w:val="000A44E1"/>
    <w:rsid w:val="000F59F0"/>
    <w:rsid w:val="0010166F"/>
    <w:rsid w:val="00111949"/>
    <w:rsid w:val="00160B92"/>
    <w:rsid w:val="001635B3"/>
    <w:rsid w:val="00181392"/>
    <w:rsid w:val="00183FED"/>
    <w:rsid w:val="001A448D"/>
    <w:rsid w:val="001B0909"/>
    <w:rsid w:val="001C603B"/>
    <w:rsid w:val="001C77DF"/>
    <w:rsid w:val="001E4BD5"/>
    <w:rsid w:val="001E5A63"/>
    <w:rsid w:val="001F1E33"/>
    <w:rsid w:val="001F2717"/>
    <w:rsid w:val="002032BB"/>
    <w:rsid w:val="002038DF"/>
    <w:rsid w:val="0020504E"/>
    <w:rsid w:val="0020643F"/>
    <w:rsid w:val="00210B60"/>
    <w:rsid w:val="002260D5"/>
    <w:rsid w:val="00234F0B"/>
    <w:rsid w:val="00235EE9"/>
    <w:rsid w:val="002402A3"/>
    <w:rsid w:val="00241D9C"/>
    <w:rsid w:val="00242D5A"/>
    <w:rsid w:val="00257C6F"/>
    <w:rsid w:val="00261675"/>
    <w:rsid w:val="00266474"/>
    <w:rsid w:val="002673F0"/>
    <w:rsid w:val="00274CCF"/>
    <w:rsid w:val="0027782C"/>
    <w:rsid w:val="002824F3"/>
    <w:rsid w:val="00297BB3"/>
    <w:rsid w:val="002A4859"/>
    <w:rsid w:val="002B2779"/>
    <w:rsid w:val="002B5660"/>
    <w:rsid w:val="002C633F"/>
    <w:rsid w:val="002D70B3"/>
    <w:rsid w:val="00307439"/>
    <w:rsid w:val="00320757"/>
    <w:rsid w:val="003243D7"/>
    <w:rsid w:val="00353C08"/>
    <w:rsid w:val="003632FE"/>
    <w:rsid w:val="00364319"/>
    <w:rsid w:val="00365CF6"/>
    <w:rsid w:val="00376974"/>
    <w:rsid w:val="00382A5B"/>
    <w:rsid w:val="003855F8"/>
    <w:rsid w:val="0039046D"/>
    <w:rsid w:val="003908E7"/>
    <w:rsid w:val="00391839"/>
    <w:rsid w:val="003928D9"/>
    <w:rsid w:val="003A43CB"/>
    <w:rsid w:val="003B34BC"/>
    <w:rsid w:val="003C480A"/>
    <w:rsid w:val="003D13A8"/>
    <w:rsid w:val="003D4680"/>
    <w:rsid w:val="003E0ACE"/>
    <w:rsid w:val="003E4846"/>
    <w:rsid w:val="003F241C"/>
    <w:rsid w:val="003F46B2"/>
    <w:rsid w:val="003F74BA"/>
    <w:rsid w:val="00411C85"/>
    <w:rsid w:val="004157C9"/>
    <w:rsid w:val="00426658"/>
    <w:rsid w:val="00432E61"/>
    <w:rsid w:val="00433AD7"/>
    <w:rsid w:val="00441294"/>
    <w:rsid w:val="00442083"/>
    <w:rsid w:val="00477BE7"/>
    <w:rsid w:val="0048408D"/>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70A45"/>
    <w:rsid w:val="00584AC3"/>
    <w:rsid w:val="0059529B"/>
    <w:rsid w:val="005A64B8"/>
    <w:rsid w:val="005A7D95"/>
    <w:rsid w:val="005B3066"/>
    <w:rsid w:val="005B3BB9"/>
    <w:rsid w:val="005D2DB8"/>
    <w:rsid w:val="005D4D65"/>
    <w:rsid w:val="005E0E13"/>
    <w:rsid w:val="005E172C"/>
    <w:rsid w:val="005F3D20"/>
    <w:rsid w:val="00604787"/>
    <w:rsid w:val="00612340"/>
    <w:rsid w:val="0063085B"/>
    <w:rsid w:val="00635DF3"/>
    <w:rsid w:val="00636646"/>
    <w:rsid w:val="006474BE"/>
    <w:rsid w:val="006B5838"/>
    <w:rsid w:val="006C4047"/>
    <w:rsid w:val="006C7204"/>
    <w:rsid w:val="006E1C14"/>
    <w:rsid w:val="006E6BBE"/>
    <w:rsid w:val="0070372F"/>
    <w:rsid w:val="007061C0"/>
    <w:rsid w:val="00707089"/>
    <w:rsid w:val="00713EA4"/>
    <w:rsid w:val="007273FC"/>
    <w:rsid w:val="00730767"/>
    <w:rsid w:val="00750BA6"/>
    <w:rsid w:val="00751B96"/>
    <w:rsid w:val="00762FE5"/>
    <w:rsid w:val="007711C0"/>
    <w:rsid w:val="00772B88"/>
    <w:rsid w:val="00773BE4"/>
    <w:rsid w:val="00791287"/>
    <w:rsid w:val="007A0188"/>
    <w:rsid w:val="007A6E94"/>
    <w:rsid w:val="007B44E2"/>
    <w:rsid w:val="007C29B4"/>
    <w:rsid w:val="007C496D"/>
    <w:rsid w:val="007C6345"/>
    <w:rsid w:val="007E12E9"/>
    <w:rsid w:val="007F2713"/>
    <w:rsid w:val="007F6CC5"/>
    <w:rsid w:val="00801E2A"/>
    <w:rsid w:val="00811CC1"/>
    <w:rsid w:val="00816814"/>
    <w:rsid w:val="00822044"/>
    <w:rsid w:val="008341AC"/>
    <w:rsid w:val="0085236D"/>
    <w:rsid w:val="00881157"/>
    <w:rsid w:val="00890856"/>
    <w:rsid w:val="008A48BD"/>
    <w:rsid w:val="008A74EA"/>
    <w:rsid w:val="008C0054"/>
    <w:rsid w:val="008C30E7"/>
    <w:rsid w:val="008D5537"/>
    <w:rsid w:val="008E651B"/>
    <w:rsid w:val="008F305A"/>
    <w:rsid w:val="00951CC5"/>
    <w:rsid w:val="00961521"/>
    <w:rsid w:val="0097408E"/>
    <w:rsid w:val="009818EA"/>
    <w:rsid w:val="00983C85"/>
    <w:rsid w:val="00984224"/>
    <w:rsid w:val="009B0F9A"/>
    <w:rsid w:val="009B5B6C"/>
    <w:rsid w:val="009C1957"/>
    <w:rsid w:val="009C6A09"/>
    <w:rsid w:val="009C7AAE"/>
    <w:rsid w:val="00A06E0B"/>
    <w:rsid w:val="00A121D8"/>
    <w:rsid w:val="00A204E2"/>
    <w:rsid w:val="00A21A0F"/>
    <w:rsid w:val="00A22064"/>
    <w:rsid w:val="00A31299"/>
    <w:rsid w:val="00A31E7A"/>
    <w:rsid w:val="00A338DE"/>
    <w:rsid w:val="00A52793"/>
    <w:rsid w:val="00A6166C"/>
    <w:rsid w:val="00A900CE"/>
    <w:rsid w:val="00AA36BD"/>
    <w:rsid w:val="00AB3DED"/>
    <w:rsid w:val="00AE3ABE"/>
    <w:rsid w:val="00AF6717"/>
    <w:rsid w:val="00B154B4"/>
    <w:rsid w:val="00B22CD3"/>
    <w:rsid w:val="00B27802"/>
    <w:rsid w:val="00B42151"/>
    <w:rsid w:val="00B67643"/>
    <w:rsid w:val="00B70639"/>
    <w:rsid w:val="00B82A47"/>
    <w:rsid w:val="00B85320"/>
    <w:rsid w:val="00BA35B5"/>
    <w:rsid w:val="00BC6573"/>
    <w:rsid w:val="00BE4F55"/>
    <w:rsid w:val="00BF09A3"/>
    <w:rsid w:val="00C0180A"/>
    <w:rsid w:val="00C13183"/>
    <w:rsid w:val="00C144DB"/>
    <w:rsid w:val="00C42007"/>
    <w:rsid w:val="00C46E0C"/>
    <w:rsid w:val="00C50063"/>
    <w:rsid w:val="00C50C44"/>
    <w:rsid w:val="00C53C1D"/>
    <w:rsid w:val="00C54116"/>
    <w:rsid w:val="00C63B69"/>
    <w:rsid w:val="00C777E1"/>
    <w:rsid w:val="00C82D23"/>
    <w:rsid w:val="00C8475C"/>
    <w:rsid w:val="00C85C7E"/>
    <w:rsid w:val="00C92548"/>
    <w:rsid w:val="00CA301B"/>
    <w:rsid w:val="00CB14F2"/>
    <w:rsid w:val="00CC1966"/>
    <w:rsid w:val="00CC34CC"/>
    <w:rsid w:val="00CE1A9D"/>
    <w:rsid w:val="00D04784"/>
    <w:rsid w:val="00D14F17"/>
    <w:rsid w:val="00D2366D"/>
    <w:rsid w:val="00D31927"/>
    <w:rsid w:val="00D51140"/>
    <w:rsid w:val="00D707EB"/>
    <w:rsid w:val="00D74BC1"/>
    <w:rsid w:val="00D8362B"/>
    <w:rsid w:val="00D83992"/>
    <w:rsid w:val="00D85D30"/>
    <w:rsid w:val="00DC404A"/>
    <w:rsid w:val="00DD049A"/>
    <w:rsid w:val="00DD10FE"/>
    <w:rsid w:val="00DE300D"/>
    <w:rsid w:val="00DE7BB7"/>
    <w:rsid w:val="00E06330"/>
    <w:rsid w:val="00E22C48"/>
    <w:rsid w:val="00E304DF"/>
    <w:rsid w:val="00E4364B"/>
    <w:rsid w:val="00E900FA"/>
    <w:rsid w:val="00E90643"/>
    <w:rsid w:val="00E91DDD"/>
    <w:rsid w:val="00EA532F"/>
    <w:rsid w:val="00EB7940"/>
    <w:rsid w:val="00EB7F09"/>
    <w:rsid w:val="00ED0606"/>
    <w:rsid w:val="00ED270A"/>
    <w:rsid w:val="00EE0DCB"/>
    <w:rsid w:val="00F3503C"/>
    <w:rsid w:val="00F378D3"/>
    <w:rsid w:val="00F60137"/>
    <w:rsid w:val="00F61470"/>
    <w:rsid w:val="00F75010"/>
    <w:rsid w:val="00F817AF"/>
    <w:rsid w:val="00FA25EE"/>
    <w:rsid w:val="00FA5C2F"/>
    <w:rsid w:val="00FA7A98"/>
    <w:rsid w:val="00FC4CFE"/>
    <w:rsid w:val="00FC5B34"/>
    <w:rsid w:val="00FD506D"/>
    <w:rsid w:val="00FD69AB"/>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4C3C3DA7-4876-4872-A0A4-9C405FEADB18}">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2021-05-10T14:25:00Z</dcterms:created>
  <dcterms:modified xsi:type="dcterms:W3CDTF">2021-05-10T14:25:00Z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